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jc w:val="center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求真书院《拓扑学》修读概要</w:t>
      </w:r>
    </w:p>
    <w:p>
      <w:pPr>
        <w:ind w:firstLine="1205" w:firstLineChars="500"/>
        <w:jc w:val="both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先修课程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分析I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代数I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建议修读时间： 第一学年下学期或第二学年上学期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后续修读课程： 微分几何，代数拓扑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参考文献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：（1）M.A.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Armstrong: Basic Topology</w:t>
      </w:r>
    </w:p>
    <w:p>
      <w:pPr>
        <w:numPr>
          <w:numId w:val="0"/>
        </w:numPr>
        <w:tabs>
          <w:tab w:val="center" w:pos="4153"/>
        </w:tabs>
        <w:spacing w:line="300" w:lineRule="auto"/>
        <w:ind w:left="1440" w:leftChars="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（2）Allen Hatcher: Algebraic Topology</w:t>
      </w:r>
    </w:p>
    <w:p>
      <w:pPr>
        <w:numPr>
          <w:ilvl w:val="0"/>
          <w:numId w:val="2"/>
        </w:numPr>
        <w:tabs>
          <w:tab w:val="center" w:pos="4153"/>
        </w:tabs>
        <w:spacing w:line="300" w:lineRule="auto"/>
        <w:ind w:left="1440" w:leftChars="0" w:firstLine="0" w:firstLine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尤承业：基础拓扑学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课程基本内容</w:t>
      </w:r>
    </w:p>
    <w:p>
      <w:pPr>
        <w:tabs>
          <w:tab w:val="center" w:pos="4153"/>
        </w:tabs>
        <w:spacing w:line="300" w:lineRule="auto"/>
        <w:rPr>
          <w:rFonts w:hint="default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</w:rPr>
        <w:t>第一章：</w:t>
      </w:r>
      <w:r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  <w:t>点集拓扑</w:t>
      </w:r>
    </w:p>
    <w:p>
      <w:pPr>
        <w:numPr>
          <w:ilvl w:val="0"/>
          <w:numId w:val="3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拓扑空间与连续映射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.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度量拓扑与乘积拓扑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3. 分离公理，Urysohn引理及应用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5. 紧致性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6. 连通性与道路连通性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.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商空间，空间的粘贴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8. 拓扑群与群作用</w:t>
      </w:r>
    </w:p>
    <w:p>
      <w:p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</w:p>
    <w:p>
      <w:pPr>
        <w:tabs>
          <w:tab w:val="center" w:pos="4153"/>
        </w:tabs>
        <w:spacing w:line="300" w:lineRule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第二章：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基本群与覆盖空间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1.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映射的同伦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2.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基本群的定义与性质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3. </w:t>
      </w:r>
      <m:oMath>
        <m:sSup>
          <m:sSupPr>
            <m:ctrlPr>
              <w:rPr>
                <w:rFonts w:ascii="Cambria Math" w:hAnsi="Cambria Math" w:cs="仿宋"/>
                <w:bCs w:val="0"/>
                <w:i/>
                <w:sz w:val="24"/>
                <w:szCs w:val="24"/>
                <w:lang w:val="en-US"/>
              </w:rPr>
            </m:ctrlPr>
          </m:sSupPr>
          <m:e>
            <m:r>
              <m:rPr/>
              <w:rPr>
                <w:rFonts w:hint="default" w:ascii="Cambria Math" w:hAnsi="Cambria Math" w:cs="仿宋"/>
                <w:sz w:val="24"/>
                <w:szCs w:val="24"/>
                <w:lang w:val="en-US" w:eastAsia="zh-CN"/>
              </w:rPr>
              <m:t>S</m:t>
            </m:r>
            <m:ctrlPr>
              <w:rPr>
                <w:rFonts w:ascii="Cambria Math" w:hAnsi="Cambria Math" w:cs="仿宋"/>
                <w:bCs w:val="0"/>
                <w:i/>
                <w:sz w:val="24"/>
                <w:szCs w:val="24"/>
                <w:lang w:val="en-US"/>
              </w:rPr>
            </m:ctrlPr>
          </m:e>
          <m:sup>
            <m:r>
              <m:rPr/>
              <w:rPr>
                <w:rFonts w:hint="default" w:ascii="Cambria Math" w:hAnsi="Cambria Math" w:cs="仿宋"/>
                <w:sz w:val="24"/>
                <w:szCs w:val="24"/>
                <w:lang w:val="en-US" w:eastAsia="zh-CN"/>
              </w:rPr>
              <m:t>1</m:t>
            </m:r>
            <m:ctrlPr>
              <w:rPr>
                <w:rFonts w:ascii="Cambria Math" w:hAnsi="Cambria Math" w:cs="仿宋"/>
                <w:bCs w:val="0"/>
                <w:i/>
                <w:sz w:val="24"/>
                <w:szCs w:val="24"/>
                <w:lang w:val="en-US"/>
              </w:rPr>
            </m:ctrlPr>
          </m:sup>
        </m:sSup>
      </m:oMath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的基本群及应用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4. Van Kampen定理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5. CW复形的定义和例子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6. 闭曲面分类定理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7. 覆盖空间的Galois对应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8. 单纯同调简介（选讲）</w:t>
      </w:r>
    </w:p>
    <w:p>
      <w:pPr>
        <w:tabs>
          <w:tab w:val="center" w:pos="4153"/>
        </w:tabs>
        <w:spacing w:line="300" w:lineRule="auto"/>
        <w:ind w:firstLine="42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</w:p>
    <w:p>
      <w:pPr>
        <w:ind w:firstLine="1"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ind w:firstLine="1"/>
        <w:jc w:val="center"/>
        <w:rPr>
          <w:rFonts w:hint="eastAsia" w:ascii="仿宋" w:hAnsi="仿宋" w:eastAsia="仿宋" w:cs="Times New Roman"/>
          <w:b/>
          <w:bCs/>
          <w:sz w:val="32"/>
          <w:szCs w:val="32"/>
        </w:rPr>
      </w:pPr>
    </w:p>
    <w:p>
      <w:pPr>
        <w:rPr>
          <w:rFonts w:hint="eastAsia" w:ascii="仿宋" w:hAnsi="仿宋" w:eastAsia="仿宋" w:cs="Times New Roman"/>
          <w:b/>
          <w:bCs/>
          <w:sz w:val="28"/>
          <w:szCs w:val="28"/>
          <w:highlight w:val="yellow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79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041E1E"/>
    <w:multiLevelType w:val="singleLevel"/>
    <w:tmpl w:val="18041E1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E57F699"/>
    <w:multiLevelType w:val="singleLevel"/>
    <w:tmpl w:val="2E57F699"/>
    <w:lvl w:ilvl="0" w:tentative="0">
      <w:start w:val="2"/>
      <w:numFmt w:val="decimal"/>
      <w:suff w:val="nothing"/>
      <w:lvlText w:val="（%1）"/>
      <w:lvlJc w:val="left"/>
      <w:pPr>
        <w:ind w:left="1440" w:leftChars="0" w:firstLine="0" w:firstLineChars="0"/>
      </w:pPr>
    </w:lvl>
  </w:abstractNum>
  <w:abstractNum w:abstractNumId="2">
    <w:nsid w:val="33D95EE9"/>
    <w:multiLevelType w:val="singleLevel"/>
    <w:tmpl w:val="33D95EE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66BD5-A936-405D-8CBC-2B0A6E3CB11A}">
  <ds:schemaRefs/>
</ds:datastoreItem>
</file>